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6F8C" w14:textId="6EB05056" w:rsidR="00F5758D" w:rsidRDefault="00F5758D" w:rsidP="00901B25">
      <w:pPr>
        <w:rPr>
          <w:color w:val="0070C0"/>
          <w:lang w:val="fr-FR"/>
        </w:rPr>
      </w:pPr>
      <w:r>
        <w:rPr>
          <w:noProof/>
          <w:lang w:val="sl-SI" w:eastAsia="sl-SI"/>
        </w:rPr>
        <w:drawing>
          <wp:anchor distT="0" distB="0" distL="114300" distR="114300" simplePos="0" relativeHeight="251659264" behindDoc="0" locked="0" layoutInCell="1" allowOverlap="1" wp14:anchorId="13F03F06" wp14:editId="42C3DADE">
            <wp:simplePos x="0" y="0"/>
            <wp:positionH relativeFrom="column">
              <wp:posOffset>0</wp:posOffset>
            </wp:positionH>
            <wp:positionV relativeFrom="paragraph">
              <wp:posOffset>0</wp:posOffset>
            </wp:positionV>
            <wp:extent cx="2932430" cy="753110"/>
            <wp:effectExtent l="0" t="0" r="127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243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DAA41" w14:textId="42B9776C" w:rsidR="00F5758D" w:rsidRDefault="00F5758D" w:rsidP="00901B25">
      <w:pPr>
        <w:rPr>
          <w:color w:val="0070C0"/>
          <w:lang w:val="fr-FR"/>
        </w:rPr>
      </w:pPr>
    </w:p>
    <w:p w14:paraId="60275528" w14:textId="07FF359A" w:rsidR="00F5758D" w:rsidRDefault="00F5758D" w:rsidP="00901B25">
      <w:pPr>
        <w:rPr>
          <w:color w:val="0070C0"/>
          <w:lang w:val="fr-FR"/>
        </w:rPr>
      </w:pPr>
    </w:p>
    <w:p w14:paraId="64B80E30" w14:textId="04053EF4" w:rsidR="00F5758D" w:rsidRDefault="00F5758D" w:rsidP="00901B25">
      <w:pPr>
        <w:rPr>
          <w:color w:val="0070C0"/>
          <w:lang w:val="fr-FR"/>
        </w:rPr>
      </w:pPr>
    </w:p>
    <w:p w14:paraId="584CBF40" w14:textId="1351E553" w:rsidR="00F5758D" w:rsidRDefault="00F5758D" w:rsidP="00901B25">
      <w:pPr>
        <w:rPr>
          <w:color w:val="0070C0"/>
          <w:lang w:val="fr-FR"/>
        </w:rPr>
      </w:pPr>
    </w:p>
    <w:p w14:paraId="47D76A48" w14:textId="2E1530C9" w:rsidR="00F5758D" w:rsidRDefault="00F5758D" w:rsidP="00901B25">
      <w:pPr>
        <w:rPr>
          <w:color w:val="0070C0"/>
          <w:lang w:val="fr-FR"/>
        </w:rPr>
      </w:pPr>
    </w:p>
    <w:p w14:paraId="3A0FD70C" w14:textId="77777777" w:rsidR="00F5758D" w:rsidRDefault="00F5758D" w:rsidP="00901B25">
      <w:pPr>
        <w:rPr>
          <w:b/>
          <w:color w:val="323E4F" w:themeColor="text2" w:themeShade="BF"/>
          <w:lang w:val="de-AT"/>
        </w:rPr>
      </w:pPr>
    </w:p>
    <w:p w14:paraId="23C59D4E" w14:textId="1953AC90" w:rsidR="00901B25" w:rsidRPr="00783FE0" w:rsidRDefault="00901B25" w:rsidP="00901B25">
      <w:pPr>
        <w:rPr>
          <w:b/>
          <w:color w:val="323E4F" w:themeColor="text2" w:themeShade="BF"/>
          <w:sz w:val="26"/>
          <w:szCs w:val="26"/>
          <w:lang w:val="en-US"/>
        </w:rPr>
      </w:pPr>
      <w:r w:rsidRPr="00783FE0">
        <w:rPr>
          <w:b/>
          <w:color w:val="323E4F" w:themeColor="text2" w:themeShade="BF"/>
          <w:sz w:val="26"/>
          <w:szCs w:val="26"/>
          <w:lang w:val="en-US"/>
        </w:rPr>
        <w:t xml:space="preserve">Call for </w:t>
      </w:r>
      <w:proofErr w:type="gramStart"/>
      <w:r w:rsidRPr="00783FE0">
        <w:rPr>
          <w:b/>
          <w:color w:val="323E4F" w:themeColor="text2" w:themeShade="BF"/>
          <w:sz w:val="26"/>
          <w:szCs w:val="26"/>
          <w:lang w:val="en-US"/>
        </w:rPr>
        <w:t>Papers</w:t>
      </w:r>
      <w:proofErr w:type="gramEnd"/>
    </w:p>
    <w:p w14:paraId="6F30731A" w14:textId="16EB8E71" w:rsidR="00901B25" w:rsidRPr="00783FE0" w:rsidRDefault="00901B25" w:rsidP="00901B25">
      <w:pPr>
        <w:rPr>
          <w:b/>
          <w:color w:val="323E4F" w:themeColor="text2" w:themeShade="BF"/>
          <w:sz w:val="28"/>
          <w:szCs w:val="28"/>
          <w:lang w:val="en-US"/>
        </w:rPr>
      </w:pPr>
    </w:p>
    <w:p w14:paraId="65C448A2" w14:textId="77777777" w:rsidR="00F5758D" w:rsidRPr="00783FE0" w:rsidRDefault="00F5758D" w:rsidP="00901B25">
      <w:pPr>
        <w:rPr>
          <w:b/>
          <w:color w:val="323E4F" w:themeColor="text2" w:themeShade="BF"/>
          <w:sz w:val="28"/>
          <w:szCs w:val="28"/>
          <w:lang w:val="en-US"/>
        </w:rPr>
      </w:pPr>
    </w:p>
    <w:p w14:paraId="30BCAE5F" w14:textId="72630300" w:rsidR="00901B25" w:rsidRPr="00783FE0" w:rsidRDefault="009B6CC6" w:rsidP="00901B25">
      <w:pPr>
        <w:rPr>
          <w:b/>
          <w:color w:val="323E4F" w:themeColor="text2" w:themeShade="BF"/>
          <w:sz w:val="28"/>
          <w:szCs w:val="28"/>
          <w:lang w:val="en-US"/>
        </w:rPr>
      </w:pPr>
      <w:proofErr w:type="spellStart"/>
      <w:r w:rsidRPr="00783FE0">
        <w:rPr>
          <w:b/>
          <w:color w:val="323E4F" w:themeColor="text2" w:themeShade="BF"/>
          <w:sz w:val="28"/>
          <w:szCs w:val="28"/>
          <w:lang w:val="en-US"/>
        </w:rPr>
        <w:t>Familien</w:t>
      </w:r>
      <w:proofErr w:type="spellEnd"/>
      <w:r w:rsidRPr="00783FE0">
        <w:rPr>
          <w:b/>
          <w:color w:val="323E4F" w:themeColor="text2" w:themeShade="BF"/>
          <w:sz w:val="28"/>
          <w:szCs w:val="28"/>
          <w:lang w:val="en-US"/>
        </w:rPr>
        <w:t xml:space="preserve"> in den Alpen</w:t>
      </w:r>
    </w:p>
    <w:p w14:paraId="517A4B27" w14:textId="5B771421" w:rsidR="00901B25" w:rsidRPr="00303090" w:rsidRDefault="009B6CC6" w:rsidP="00901B25">
      <w:pPr>
        <w:rPr>
          <w:b/>
          <w:color w:val="323E4F" w:themeColor="text2" w:themeShade="BF"/>
          <w:lang w:val="de-AT"/>
        </w:rPr>
      </w:pPr>
      <w:r w:rsidRPr="009B6CC6">
        <w:rPr>
          <w:b/>
          <w:color w:val="323E4F" w:themeColor="text2" w:themeShade="BF"/>
        </w:rPr>
        <w:t xml:space="preserve">Haushalte und Verwandte, Nachbarn und </w:t>
      </w:r>
      <w:proofErr w:type="spellStart"/>
      <w:proofErr w:type="gramStart"/>
      <w:r w:rsidRPr="009B6CC6">
        <w:rPr>
          <w:b/>
          <w:color w:val="323E4F" w:themeColor="text2" w:themeShade="BF"/>
        </w:rPr>
        <w:t>Freund:innen</w:t>
      </w:r>
      <w:proofErr w:type="spellEnd"/>
      <w:proofErr w:type="gramEnd"/>
      <w:r w:rsidRPr="009B6CC6">
        <w:rPr>
          <w:b/>
          <w:color w:val="323E4F" w:themeColor="text2" w:themeShade="BF"/>
        </w:rPr>
        <w:t xml:space="preserve"> – soziale und ökonomische Beziehungsnetze</w:t>
      </w:r>
    </w:p>
    <w:p w14:paraId="5BA1EC6F" w14:textId="77777777" w:rsidR="00901B25" w:rsidRPr="00303090" w:rsidRDefault="00901B25" w:rsidP="00901B25">
      <w:pPr>
        <w:rPr>
          <w:color w:val="323E4F" w:themeColor="text2" w:themeShade="BF"/>
          <w:lang w:val="de-AT"/>
        </w:rPr>
      </w:pPr>
    </w:p>
    <w:p w14:paraId="6DF85349" w14:textId="77777777" w:rsidR="00901B25" w:rsidRPr="00303090" w:rsidRDefault="00901B25" w:rsidP="00901B25">
      <w:pPr>
        <w:rPr>
          <w:color w:val="323E4F" w:themeColor="text2" w:themeShade="BF"/>
          <w:lang w:val="de-AT"/>
        </w:rPr>
      </w:pPr>
    </w:p>
    <w:p w14:paraId="6AA0061D" w14:textId="7A5FC524" w:rsidR="00901B25" w:rsidRPr="00C828B7" w:rsidRDefault="00C828B7" w:rsidP="00901B25">
      <w:pPr>
        <w:rPr>
          <w:b/>
          <w:color w:val="323E4F" w:themeColor="text2" w:themeShade="BF"/>
          <w:lang w:val="de-AT"/>
        </w:rPr>
      </w:pPr>
      <w:r w:rsidRPr="00783FE0">
        <w:rPr>
          <w:b/>
          <w:color w:val="323E4F" w:themeColor="text2" w:themeShade="BF"/>
        </w:rPr>
        <w:t>Internationale Tagung</w:t>
      </w:r>
      <w:r w:rsidR="00F5758D" w:rsidRPr="00783FE0">
        <w:rPr>
          <w:b/>
          <w:color w:val="323E4F" w:themeColor="text2" w:themeShade="BF"/>
        </w:rPr>
        <w:t xml:space="preserve">, </w:t>
      </w:r>
      <w:r w:rsidR="009B6CC6" w:rsidRPr="00783FE0">
        <w:rPr>
          <w:b/>
          <w:color w:val="323E4F" w:themeColor="text2" w:themeShade="BF"/>
        </w:rPr>
        <w:t xml:space="preserve">Ljubljana, 29.–31. </w:t>
      </w:r>
      <w:r w:rsidR="009B6CC6" w:rsidRPr="00C828B7">
        <w:rPr>
          <w:b/>
          <w:color w:val="323E4F" w:themeColor="text2" w:themeShade="BF"/>
        </w:rPr>
        <w:t>August 2024</w:t>
      </w:r>
    </w:p>
    <w:p w14:paraId="18176446" w14:textId="77777777" w:rsidR="00901B25" w:rsidRPr="00C828B7" w:rsidRDefault="00901B25" w:rsidP="00901B25">
      <w:pPr>
        <w:rPr>
          <w:b/>
          <w:color w:val="323E4F" w:themeColor="text2" w:themeShade="BF"/>
          <w:lang w:val="de-AT"/>
        </w:rPr>
      </w:pPr>
    </w:p>
    <w:p w14:paraId="546E8DD2" w14:textId="77777777" w:rsidR="00901B25" w:rsidRPr="00C828B7" w:rsidRDefault="00901B25" w:rsidP="00901B25">
      <w:pPr>
        <w:rPr>
          <w:b/>
          <w:color w:val="323E4F" w:themeColor="text2" w:themeShade="BF"/>
          <w:lang w:val="de-AT"/>
        </w:rPr>
      </w:pPr>
    </w:p>
    <w:p w14:paraId="30439A91" w14:textId="6C41D903" w:rsidR="00901B25" w:rsidRPr="00C828B7" w:rsidRDefault="009B6CC6" w:rsidP="00901B25">
      <w:pPr>
        <w:spacing w:before="120"/>
        <w:rPr>
          <w:color w:val="323E4F" w:themeColor="text2" w:themeShade="BF"/>
          <w:lang w:val="de-AT"/>
        </w:rPr>
      </w:pPr>
      <w:r w:rsidRPr="009B6CC6">
        <w:rPr>
          <w:color w:val="323E4F" w:themeColor="text2" w:themeShade="BF"/>
        </w:rPr>
        <w:t xml:space="preserve">Die Alpen waren ein nahezu klassischer Untersuchungsraum für sozialanthropologische, vor allem amerikanische, Studien zu Dörfern und Familien, zum Umgang mit Besitz und Erbe etc. seit den 1960er Jahren, die zum Teil auch bereits quantifizierend arbeiteten. Zuvor entstanden auch schon bevölkerungsgeographische demographische Untersuchungen – etwa der „Innsbrucker Schule“ – zu einigen Alpentälern. Intensive und kontroverse Diskussionen drehten sich im alpinen Kontext unter anderem um homöostatische Konzepte. Diese fragten nach einem möglichen Zusammenhang zwischen Bevölkerung bzw. den Grenzen des Bevölkerungswachstums – ausgehend von Eheschließungen und Geburten als wesentliche Faktoren – und verfügbaren Ressourcen im Sinne einer demographisch-ökonomischen Balance. Offenere und breitere Zugänge erteilten umweltdeterministischen Sichtweisen eine Absage und verwiesen auf Handlungsoptionen, </w:t>
      </w:r>
      <w:proofErr w:type="spellStart"/>
      <w:r w:rsidRPr="009B6CC6">
        <w:rPr>
          <w:color w:val="323E4F" w:themeColor="text2" w:themeShade="BF"/>
        </w:rPr>
        <w:t>Pluriaktivität</w:t>
      </w:r>
      <w:proofErr w:type="spellEnd"/>
      <w:r w:rsidRPr="009B6CC6">
        <w:rPr>
          <w:color w:val="323E4F" w:themeColor="text2" w:themeShade="BF"/>
        </w:rPr>
        <w:t xml:space="preserve"> und </w:t>
      </w:r>
      <w:proofErr w:type="spellStart"/>
      <w:r w:rsidRPr="009B6CC6">
        <w:rPr>
          <w:color w:val="323E4F" w:themeColor="text2" w:themeShade="BF"/>
        </w:rPr>
        <w:t>mixed</w:t>
      </w:r>
      <w:proofErr w:type="spellEnd"/>
      <w:r w:rsidRPr="009B6CC6">
        <w:rPr>
          <w:color w:val="323E4F" w:themeColor="text2" w:themeShade="BF"/>
        </w:rPr>
        <w:t xml:space="preserve"> </w:t>
      </w:r>
      <w:proofErr w:type="spellStart"/>
      <w:r w:rsidRPr="009B6CC6">
        <w:rPr>
          <w:color w:val="323E4F" w:themeColor="text2" w:themeShade="BF"/>
        </w:rPr>
        <w:t>economies</w:t>
      </w:r>
      <w:proofErr w:type="spellEnd"/>
      <w:r w:rsidRPr="009B6CC6">
        <w:rPr>
          <w:color w:val="323E4F" w:themeColor="text2" w:themeShade="BF"/>
        </w:rPr>
        <w:t>.</w:t>
      </w:r>
    </w:p>
    <w:p w14:paraId="2C8D6805" w14:textId="4A99A30C" w:rsidR="00901B25" w:rsidRPr="00C828B7" w:rsidRDefault="009B6CC6" w:rsidP="00901B25">
      <w:pPr>
        <w:spacing w:before="120"/>
        <w:rPr>
          <w:color w:val="323E4F" w:themeColor="text2" w:themeShade="BF"/>
          <w:lang w:val="de-AT"/>
        </w:rPr>
      </w:pPr>
      <w:r w:rsidRPr="009B6CC6">
        <w:rPr>
          <w:color w:val="323E4F" w:themeColor="text2" w:themeShade="BF"/>
        </w:rPr>
        <w:t xml:space="preserve">Mit dem internationalen Aufschwung der Historischen Familienforschung seit den 1970er Jahren richteten sich nun auch die Fragen von </w:t>
      </w:r>
      <w:proofErr w:type="spellStart"/>
      <w:proofErr w:type="gramStart"/>
      <w:r w:rsidRPr="009B6CC6">
        <w:rPr>
          <w:color w:val="323E4F" w:themeColor="text2" w:themeShade="BF"/>
        </w:rPr>
        <w:t>Historiker:innen</w:t>
      </w:r>
      <w:proofErr w:type="spellEnd"/>
      <w:proofErr w:type="gramEnd"/>
      <w:r w:rsidRPr="009B6CC6">
        <w:rPr>
          <w:color w:val="323E4F" w:themeColor="text2" w:themeShade="BF"/>
        </w:rPr>
        <w:t xml:space="preserve"> auf Haushaltszusammensetzungen und Arbeitsorganisation, auf Unterschiede und Implikationen von Erbrechten und Erbpraxis, auf spezifische Migrations- und Heiratsmuster und auch historisch-anthropologische Themen. Da und dort fielen Gebirgsregionen durch spezifische Haushaltskonstellationen auf: beispielsweise durch die Präsenz von Stammfamilien (</w:t>
      </w:r>
      <w:proofErr w:type="spellStart"/>
      <w:r w:rsidRPr="009B6CC6">
        <w:rPr>
          <w:i/>
          <w:color w:val="323E4F" w:themeColor="text2" w:themeShade="BF"/>
        </w:rPr>
        <w:t>stem</w:t>
      </w:r>
      <w:proofErr w:type="spellEnd"/>
      <w:r w:rsidRPr="009B6CC6">
        <w:rPr>
          <w:i/>
          <w:color w:val="323E4F" w:themeColor="text2" w:themeShade="BF"/>
        </w:rPr>
        <w:t xml:space="preserve"> </w:t>
      </w:r>
      <w:proofErr w:type="spellStart"/>
      <w:r w:rsidRPr="009B6CC6">
        <w:rPr>
          <w:i/>
          <w:color w:val="323E4F" w:themeColor="text2" w:themeShade="BF"/>
        </w:rPr>
        <w:t>families</w:t>
      </w:r>
      <w:proofErr w:type="spellEnd"/>
      <w:r w:rsidRPr="009B6CC6">
        <w:rPr>
          <w:color w:val="323E4F" w:themeColor="text2" w:themeShade="BF"/>
        </w:rPr>
        <w:t>) im engeren Sinn, in denen Väter die Macht-, Autoritäts- und Wirtschaftsposition weiterhin in ihren Händen hielten, auch nachdem ein Sohn oder eine Tochter in das Haus eingeheiratet hatte, durch gemeinsames Brüdererbe und komplexe Haushalte mit mehreren verheirateten Brüdern oder aber durch abwesende Männer und haushaltsführende Frauen aufgrund von geschlechtsspezifischer saisonaler Mobilität. Insgesamt konnten Studien die Vielgestaltigkeit und Komplexität von Familien und Haushalten verdeutlichten.</w:t>
      </w:r>
    </w:p>
    <w:p w14:paraId="47DC5C43" w14:textId="653848E1" w:rsidR="00901B25" w:rsidRPr="00303090" w:rsidRDefault="009B6CC6" w:rsidP="00901B25">
      <w:pPr>
        <w:spacing w:before="120"/>
        <w:rPr>
          <w:color w:val="323E4F" w:themeColor="text2" w:themeShade="BF"/>
          <w:lang w:val="de-AT"/>
        </w:rPr>
      </w:pPr>
      <w:r w:rsidRPr="009B6CC6">
        <w:rPr>
          <w:color w:val="323E4F" w:themeColor="text2" w:themeShade="BF"/>
        </w:rPr>
        <w:t xml:space="preserve">Ab den 1990er Jahren erweiterten sich die Zugänge: Der „Haushalt“ wurde quasi aufgelöst und differenzierende Perspektiven eingezogen: Der Fokus lag nun stärker auf einzelnen Positionen – als Ehefrauen und Ehemänner, Söhne und Töchter, Geschwister, Großeltern etc. –, auf Geschlechtern und Generationen, auf vertraglichen Arrangements verknüpft mit rechtlich-administrativen Rahmungen. Verschiedene Besitz-, Erb- und Ehegüterregime wurden aufeinander bezogen. Vor allem Verwandte, aber auch andere soziale Beziehungen, die über den Haushalt hinausführten – wie Nachbarn, Freunde, Vormünder und andere – standen nun im Zentrum des Interesses. Erweitert und differenziert hat sich zudem das soziale Spektrum von Studien. Dieses umfasst Landlose ebenso wie Handwerker und Gewerbetreibende auf dem Land, agrarische </w:t>
      </w:r>
      <w:proofErr w:type="spellStart"/>
      <w:proofErr w:type="gramStart"/>
      <w:r w:rsidRPr="009B6CC6">
        <w:rPr>
          <w:color w:val="323E4F" w:themeColor="text2" w:themeShade="BF"/>
        </w:rPr>
        <w:t>Produzent:innen</w:t>
      </w:r>
      <w:proofErr w:type="spellEnd"/>
      <w:proofErr w:type="gramEnd"/>
      <w:r w:rsidRPr="009B6CC6">
        <w:rPr>
          <w:color w:val="323E4F" w:themeColor="text2" w:themeShade="BF"/>
        </w:rPr>
        <w:t xml:space="preserve"> und </w:t>
      </w:r>
      <w:proofErr w:type="spellStart"/>
      <w:r w:rsidRPr="009B6CC6">
        <w:rPr>
          <w:color w:val="323E4F" w:themeColor="text2" w:themeShade="BF"/>
        </w:rPr>
        <w:t>pluriaktiv</w:t>
      </w:r>
      <w:proofErr w:type="spellEnd"/>
      <w:r w:rsidRPr="009B6CC6">
        <w:rPr>
          <w:color w:val="323E4F" w:themeColor="text2" w:themeShade="BF"/>
        </w:rPr>
        <w:t xml:space="preserve"> Tätige sowie bäuerliche und andere Eliten.</w:t>
      </w:r>
    </w:p>
    <w:p w14:paraId="40619A89" w14:textId="42436EAB" w:rsidR="00043351" w:rsidRPr="002D0579" w:rsidRDefault="009B6CC6" w:rsidP="00901B25">
      <w:pPr>
        <w:spacing w:before="120"/>
        <w:rPr>
          <w:color w:val="323E4F" w:themeColor="text2" w:themeShade="BF"/>
          <w:lang w:val="de-AT"/>
        </w:rPr>
      </w:pPr>
      <w:r w:rsidRPr="009B6CC6">
        <w:rPr>
          <w:color w:val="323E4F" w:themeColor="text2" w:themeShade="BF"/>
        </w:rPr>
        <w:lastRenderedPageBreak/>
        <w:t xml:space="preserve">Bei diesen Differenzierungen setzt die geplante Tagung der „Internationalen Gesellschaft für historische Alpenforschung“ an. Gefragt wird nach Bedeutung, Wirkmacht und Wirkweisen von grundlegenden Beziehungen – repräsentiert durch Familien, Verwandte, Nachbarn, </w:t>
      </w:r>
      <w:proofErr w:type="spellStart"/>
      <w:r w:rsidRPr="009B6CC6">
        <w:rPr>
          <w:color w:val="323E4F" w:themeColor="text2" w:themeShade="BF"/>
        </w:rPr>
        <w:t>Freund:innen</w:t>
      </w:r>
      <w:proofErr w:type="spellEnd"/>
      <w:r w:rsidRPr="009B6CC6">
        <w:rPr>
          <w:color w:val="323E4F" w:themeColor="text2" w:themeShade="BF"/>
        </w:rPr>
        <w:t xml:space="preserve"> und anderen – in verschiedenen sozialen und ökonomischen Kontexten alpiner Gesellschaften. Damit sind Arbeits- und Vermögenszusammenhänge adressiert, konkurrierende Interessen ebenso wie Allianzen und Kooperationen. </w:t>
      </w:r>
      <w:r w:rsidR="00C828B7" w:rsidRPr="00C828B7">
        <w:rPr>
          <w:color w:val="323E4F" w:themeColor="text2" w:themeShade="BF"/>
        </w:rPr>
        <w:t xml:space="preserve">Davon ausgehend, laden wir interessierte </w:t>
      </w:r>
      <w:proofErr w:type="spellStart"/>
      <w:r w:rsidR="00C828B7" w:rsidRPr="00C828B7">
        <w:rPr>
          <w:color w:val="323E4F" w:themeColor="text2" w:themeShade="BF"/>
        </w:rPr>
        <w:t>Referent:innen</w:t>
      </w:r>
      <w:proofErr w:type="spellEnd"/>
      <w:r w:rsidR="00C828B7" w:rsidRPr="00C828B7">
        <w:rPr>
          <w:color w:val="323E4F" w:themeColor="text2" w:themeShade="BF"/>
        </w:rPr>
        <w:t xml:space="preserve"> ein, Vor</w:t>
      </w:r>
      <w:r w:rsidR="00043351">
        <w:rPr>
          <w:color w:val="323E4F" w:themeColor="text2" w:themeShade="BF"/>
        </w:rPr>
        <w:t>tragsvor</w:t>
      </w:r>
      <w:r w:rsidR="00C828B7" w:rsidRPr="00C828B7">
        <w:rPr>
          <w:color w:val="323E4F" w:themeColor="text2" w:themeShade="BF"/>
        </w:rPr>
        <w:t xml:space="preserve">schläge zu schicken, die lokale oder regionale Fallstudien in synchroner oder diachroner Perspektive, Auseinandersetzungen mit Konzepten und Modellen der (alpinen) Familiengeschichte entweder auf Grundlage der eigenen Forschung oder </w:t>
      </w:r>
      <w:r w:rsidR="00C828B7">
        <w:rPr>
          <w:color w:val="323E4F" w:themeColor="text2" w:themeShade="BF"/>
        </w:rPr>
        <w:t>in einem</w:t>
      </w:r>
      <w:r w:rsidR="00C828B7" w:rsidRPr="00C828B7">
        <w:rPr>
          <w:color w:val="323E4F" w:themeColor="text2" w:themeShade="BF"/>
        </w:rPr>
        <w:t xml:space="preserve"> </w:t>
      </w:r>
      <w:r w:rsidR="00C828B7">
        <w:rPr>
          <w:color w:val="323E4F" w:themeColor="text2" w:themeShade="BF"/>
        </w:rPr>
        <w:t>inner</w:t>
      </w:r>
      <w:r w:rsidR="00C828B7" w:rsidRPr="00C828B7">
        <w:rPr>
          <w:color w:val="323E4F" w:themeColor="text2" w:themeShade="BF"/>
        </w:rPr>
        <w:t xml:space="preserve">alpin vergleichenden </w:t>
      </w:r>
      <w:r w:rsidR="00C828B7">
        <w:rPr>
          <w:color w:val="323E4F" w:themeColor="text2" w:themeShade="BF"/>
        </w:rPr>
        <w:t>Ansatz</w:t>
      </w:r>
      <w:r w:rsidR="00C828B7" w:rsidRPr="00C828B7">
        <w:rPr>
          <w:color w:val="323E4F" w:themeColor="text2" w:themeShade="BF"/>
        </w:rPr>
        <w:t xml:space="preserve"> </w:t>
      </w:r>
      <w:r w:rsidR="00C828B7">
        <w:rPr>
          <w:color w:val="323E4F" w:themeColor="text2" w:themeShade="BF"/>
        </w:rPr>
        <w:t>zum Inhalt haben</w:t>
      </w:r>
      <w:r w:rsidR="00C828B7" w:rsidRPr="00C828B7">
        <w:rPr>
          <w:color w:val="323E4F" w:themeColor="text2" w:themeShade="BF"/>
        </w:rPr>
        <w:t xml:space="preserve"> oder </w:t>
      </w:r>
      <w:r w:rsidR="00C828B7">
        <w:rPr>
          <w:color w:val="323E4F" w:themeColor="text2" w:themeShade="BF"/>
        </w:rPr>
        <w:t>zwei oder mehr</w:t>
      </w:r>
      <w:r w:rsidR="00C828B7" w:rsidRPr="00C828B7">
        <w:rPr>
          <w:color w:val="323E4F" w:themeColor="text2" w:themeShade="BF"/>
        </w:rPr>
        <w:t xml:space="preserve"> der hier genannten </w:t>
      </w:r>
      <w:r w:rsidR="00C828B7">
        <w:rPr>
          <w:color w:val="323E4F" w:themeColor="text2" w:themeShade="BF"/>
        </w:rPr>
        <w:t>Zugänge miteinander kombinieren.</w:t>
      </w:r>
      <w:r w:rsidR="00043351">
        <w:rPr>
          <w:color w:val="323E4F" w:themeColor="text2" w:themeShade="BF"/>
        </w:rPr>
        <w:t xml:space="preserve"> </w:t>
      </w:r>
      <w:r w:rsidR="00043351" w:rsidRPr="00043351">
        <w:rPr>
          <w:color w:val="323E4F" w:themeColor="text2" w:themeShade="BF"/>
        </w:rPr>
        <w:t>Der Zeitraum erstreckt sich vom Mittelalter bis zum Be</w:t>
      </w:r>
      <w:r w:rsidR="00043351">
        <w:rPr>
          <w:color w:val="323E4F" w:themeColor="text2" w:themeShade="BF"/>
        </w:rPr>
        <w:t xml:space="preserve">ginn des 20. </w:t>
      </w:r>
      <w:r w:rsidR="00043351" w:rsidRPr="00783FE0">
        <w:rPr>
          <w:color w:val="323E4F" w:themeColor="text2" w:themeShade="BF"/>
        </w:rPr>
        <w:t xml:space="preserve">Jahrhunderts. </w:t>
      </w:r>
      <w:r w:rsidR="00043351" w:rsidRPr="002D0579">
        <w:rPr>
          <w:color w:val="323E4F" w:themeColor="text2" w:themeShade="BF"/>
          <w:lang w:val="de-AT"/>
        </w:rPr>
        <w:t xml:space="preserve">Die Tagungssprachen sind </w:t>
      </w:r>
      <w:r w:rsidR="005C074A" w:rsidRPr="005C074A">
        <w:rPr>
          <w:color w:val="323E4F" w:themeColor="text2" w:themeShade="BF"/>
          <w:lang w:val="de-AT"/>
        </w:rPr>
        <w:t>deutsch</w:t>
      </w:r>
      <w:r w:rsidR="005C074A">
        <w:rPr>
          <w:color w:val="323E4F" w:themeColor="text2" w:themeShade="BF"/>
          <w:lang w:val="de-AT"/>
        </w:rPr>
        <w:t>,</w:t>
      </w:r>
      <w:r w:rsidR="005C074A" w:rsidRPr="005C074A">
        <w:rPr>
          <w:color w:val="323E4F" w:themeColor="text2" w:themeShade="BF"/>
          <w:lang w:val="de-AT"/>
        </w:rPr>
        <w:t xml:space="preserve"> slowenisch</w:t>
      </w:r>
      <w:r w:rsidR="005C074A">
        <w:rPr>
          <w:color w:val="323E4F" w:themeColor="text2" w:themeShade="BF"/>
          <w:lang w:val="de-AT"/>
        </w:rPr>
        <w:t>,</w:t>
      </w:r>
      <w:r w:rsidR="005C074A" w:rsidRPr="005C074A">
        <w:rPr>
          <w:color w:val="323E4F" w:themeColor="text2" w:themeShade="BF"/>
          <w:lang w:val="de-AT"/>
        </w:rPr>
        <w:t xml:space="preserve"> </w:t>
      </w:r>
      <w:r w:rsidR="00043351" w:rsidRPr="002D0579">
        <w:rPr>
          <w:color w:val="323E4F" w:themeColor="text2" w:themeShade="BF"/>
          <w:lang w:val="de-AT"/>
        </w:rPr>
        <w:t>italienisch, französisch und engli</w:t>
      </w:r>
      <w:r w:rsidR="002D0579" w:rsidRPr="002D0579">
        <w:rPr>
          <w:color w:val="323E4F" w:themeColor="text2" w:themeShade="BF"/>
          <w:lang w:val="de-AT"/>
        </w:rPr>
        <w:t>s</w:t>
      </w:r>
      <w:r w:rsidR="00043351" w:rsidRPr="002D0579">
        <w:rPr>
          <w:color w:val="323E4F" w:themeColor="text2" w:themeShade="BF"/>
          <w:lang w:val="de-AT"/>
        </w:rPr>
        <w:t xml:space="preserve">ch. </w:t>
      </w:r>
    </w:p>
    <w:p w14:paraId="3DBACF55" w14:textId="59125E31" w:rsidR="00043351" w:rsidRPr="00043351" w:rsidRDefault="00043351" w:rsidP="00901B25">
      <w:pPr>
        <w:spacing w:before="120"/>
        <w:rPr>
          <w:color w:val="323E4F" w:themeColor="text2" w:themeShade="BF"/>
          <w:highlight w:val="yellow"/>
          <w:lang w:val="de-AT"/>
        </w:rPr>
      </w:pPr>
      <w:r w:rsidRPr="00043351">
        <w:rPr>
          <w:color w:val="323E4F" w:themeColor="text2" w:themeShade="BF"/>
          <w:lang w:val="de-AT"/>
        </w:rPr>
        <w:t xml:space="preserve">Bei der Auswahl der eingegangenen Vorschläge </w:t>
      </w:r>
      <w:r>
        <w:rPr>
          <w:color w:val="323E4F" w:themeColor="text2" w:themeShade="BF"/>
          <w:lang w:val="de-AT"/>
        </w:rPr>
        <w:t>orientieren sich</w:t>
      </w:r>
      <w:r w:rsidRPr="00043351">
        <w:rPr>
          <w:color w:val="323E4F" w:themeColor="text2" w:themeShade="BF"/>
          <w:lang w:val="de-AT"/>
        </w:rPr>
        <w:t xml:space="preserve"> die </w:t>
      </w:r>
      <w:proofErr w:type="spellStart"/>
      <w:proofErr w:type="gramStart"/>
      <w:r w:rsidRPr="00043351">
        <w:rPr>
          <w:color w:val="323E4F" w:themeColor="text2" w:themeShade="BF"/>
          <w:lang w:val="de-AT"/>
        </w:rPr>
        <w:t>Organisator</w:t>
      </w:r>
      <w:r w:rsidR="002D0579">
        <w:rPr>
          <w:color w:val="323E4F" w:themeColor="text2" w:themeShade="BF"/>
          <w:lang w:val="de-AT"/>
        </w:rPr>
        <w:t>:inn</w:t>
      </w:r>
      <w:r w:rsidRPr="00043351">
        <w:rPr>
          <w:color w:val="323E4F" w:themeColor="text2" w:themeShade="BF"/>
          <w:lang w:val="de-AT"/>
        </w:rPr>
        <w:t>en</w:t>
      </w:r>
      <w:proofErr w:type="spellEnd"/>
      <w:proofErr w:type="gramEnd"/>
      <w:r w:rsidRPr="00043351">
        <w:rPr>
          <w:color w:val="323E4F" w:themeColor="text2" w:themeShade="BF"/>
          <w:lang w:val="de-AT"/>
        </w:rPr>
        <w:t xml:space="preserve"> </w:t>
      </w:r>
      <w:r>
        <w:rPr>
          <w:color w:val="323E4F" w:themeColor="text2" w:themeShade="BF"/>
          <w:lang w:val="de-AT"/>
        </w:rPr>
        <w:t>an der</w:t>
      </w:r>
      <w:r w:rsidRPr="00043351">
        <w:rPr>
          <w:color w:val="323E4F" w:themeColor="text2" w:themeShade="BF"/>
          <w:lang w:val="de-AT"/>
        </w:rPr>
        <w:t xml:space="preserve"> Relevanz und Originalität de</w:t>
      </w:r>
      <w:r>
        <w:rPr>
          <w:color w:val="323E4F" w:themeColor="text2" w:themeShade="BF"/>
          <w:lang w:val="de-AT"/>
        </w:rPr>
        <w:t>s</w:t>
      </w:r>
      <w:r w:rsidRPr="00043351">
        <w:rPr>
          <w:color w:val="323E4F" w:themeColor="text2" w:themeShade="BF"/>
          <w:lang w:val="de-AT"/>
        </w:rPr>
        <w:t xml:space="preserve"> Them</w:t>
      </w:r>
      <w:r>
        <w:rPr>
          <w:color w:val="323E4F" w:themeColor="text2" w:themeShade="BF"/>
          <w:lang w:val="de-AT"/>
        </w:rPr>
        <w:t>as</w:t>
      </w:r>
      <w:r w:rsidRPr="00043351">
        <w:rPr>
          <w:color w:val="323E4F" w:themeColor="text2" w:themeShade="BF"/>
          <w:lang w:val="de-AT"/>
        </w:rPr>
        <w:t xml:space="preserve"> </w:t>
      </w:r>
      <w:r>
        <w:rPr>
          <w:color w:val="323E4F" w:themeColor="text2" w:themeShade="BF"/>
          <w:lang w:val="de-AT"/>
        </w:rPr>
        <w:t>sowie an</w:t>
      </w:r>
      <w:r w:rsidRPr="00043351">
        <w:rPr>
          <w:color w:val="323E4F" w:themeColor="text2" w:themeShade="BF"/>
          <w:lang w:val="de-AT"/>
        </w:rPr>
        <w:t xml:space="preserve"> </w:t>
      </w:r>
      <w:r>
        <w:rPr>
          <w:color w:val="323E4F" w:themeColor="text2" w:themeShade="BF"/>
          <w:lang w:val="de-AT"/>
        </w:rPr>
        <w:t>einer möglichst austarierten Berücksichtigung</w:t>
      </w:r>
      <w:r w:rsidRPr="00043351">
        <w:rPr>
          <w:color w:val="323E4F" w:themeColor="text2" w:themeShade="BF"/>
          <w:lang w:val="de-AT"/>
        </w:rPr>
        <w:t xml:space="preserve"> </w:t>
      </w:r>
      <w:r>
        <w:rPr>
          <w:color w:val="323E4F" w:themeColor="text2" w:themeShade="BF"/>
          <w:lang w:val="de-AT"/>
        </w:rPr>
        <w:t>all</w:t>
      </w:r>
      <w:r w:rsidRPr="00043351">
        <w:rPr>
          <w:color w:val="323E4F" w:themeColor="text2" w:themeShade="BF"/>
          <w:lang w:val="de-AT"/>
        </w:rPr>
        <w:t>er Regionen des Alpenraums (</w:t>
      </w:r>
      <w:r>
        <w:rPr>
          <w:color w:val="323E4F" w:themeColor="text2" w:themeShade="BF"/>
          <w:lang w:val="de-AT"/>
        </w:rPr>
        <w:t xml:space="preserve">gemäß der Definition </w:t>
      </w:r>
      <w:r w:rsidRPr="00043351">
        <w:rPr>
          <w:color w:val="323E4F" w:themeColor="text2" w:themeShade="BF"/>
          <w:lang w:val="de-AT"/>
        </w:rPr>
        <w:t xml:space="preserve">der Alpenkonvention) und </w:t>
      </w:r>
      <w:r w:rsidR="002D0579">
        <w:rPr>
          <w:color w:val="323E4F" w:themeColor="text2" w:themeShade="BF"/>
          <w:lang w:val="de-AT"/>
        </w:rPr>
        <w:t xml:space="preserve">am </w:t>
      </w:r>
      <w:r w:rsidRPr="00043351">
        <w:rPr>
          <w:color w:val="323E4F" w:themeColor="text2" w:themeShade="BF"/>
          <w:lang w:val="de-AT"/>
        </w:rPr>
        <w:t xml:space="preserve">Zeitrahmen der </w:t>
      </w:r>
      <w:r w:rsidR="002D0579">
        <w:rPr>
          <w:color w:val="323E4F" w:themeColor="text2" w:themeShade="BF"/>
          <w:lang w:val="de-AT"/>
        </w:rPr>
        <w:t>Tagung</w:t>
      </w:r>
      <w:r w:rsidRPr="00043351">
        <w:rPr>
          <w:color w:val="323E4F" w:themeColor="text2" w:themeShade="BF"/>
          <w:lang w:val="de-AT"/>
        </w:rPr>
        <w:t xml:space="preserve">. Beiträge zu anderen europäischen Berggebieten, die sich auf die </w:t>
      </w:r>
      <w:r w:rsidR="002D0579">
        <w:rPr>
          <w:color w:val="323E4F" w:themeColor="text2" w:themeShade="BF"/>
          <w:lang w:val="de-AT"/>
        </w:rPr>
        <w:t xml:space="preserve">im Call </w:t>
      </w:r>
      <w:proofErr w:type="spellStart"/>
      <w:r w:rsidR="002D0579">
        <w:rPr>
          <w:color w:val="323E4F" w:themeColor="text2" w:themeShade="BF"/>
          <w:lang w:val="de-AT"/>
        </w:rPr>
        <w:t>for</w:t>
      </w:r>
      <w:proofErr w:type="spellEnd"/>
      <w:r w:rsidR="002D0579">
        <w:rPr>
          <w:color w:val="323E4F" w:themeColor="text2" w:themeShade="BF"/>
          <w:lang w:val="de-AT"/>
        </w:rPr>
        <w:t xml:space="preserve"> Papers</w:t>
      </w:r>
      <w:r w:rsidRPr="00043351">
        <w:rPr>
          <w:color w:val="323E4F" w:themeColor="text2" w:themeShade="BF"/>
          <w:lang w:val="de-AT"/>
        </w:rPr>
        <w:t xml:space="preserve"> </w:t>
      </w:r>
      <w:r w:rsidR="002D0579">
        <w:rPr>
          <w:color w:val="323E4F" w:themeColor="text2" w:themeShade="BF"/>
          <w:lang w:val="de-AT"/>
        </w:rPr>
        <w:t xml:space="preserve">angeführten </w:t>
      </w:r>
      <w:r w:rsidRPr="00043351">
        <w:rPr>
          <w:color w:val="323E4F" w:themeColor="text2" w:themeShade="BF"/>
          <w:lang w:val="de-AT"/>
        </w:rPr>
        <w:t>Themen und Ansätze beziehen</w:t>
      </w:r>
      <w:r w:rsidR="002D0579">
        <w:rPr>
          <w:color w:val="323E4F" w:themeColor="text2" w:themeShade="BF"/>
          <w:lang w:val="de-AT"/>
        </w:rPr>
        <w:t>, sind ebenfalls willkommen</w:t>
      </w:r>
      <w:r w:rsidRPr="00043351">
        <w:rPr>
          <w:color w:val="323E4F" w:themeColor="text2" w:themeShade="BF"/>
          <w:lang w:val="de-AT"/>
        </w:rPr>
        <w:t>.</w:t>
      </w:r>
    </w:p>
    <w:p w14:paraId="59C7D55B" w14:textId="77777777" w:rsidR="00901B25" w:rsidRPr="00783FE0" w:rsidRDefault="00901B25" w:rsidP="00901B25">
      <w:pPr>
        <w:spacing w:before="120"/>
        <w:jc w:val="right"/>
        <w:rPr>
          <w:color w:val="323E4F" w:themeColor="text2" w:themeShade="BF"/>
        </w:rPr>
      </w:pPr>
      <w:r w:rsidRPr="00783FE0">
        <w:rPr>
          <w:color w:val="323E4F" w:themeColor="text2" w:themeShade="BF"/>
        </w:rPr>
        <w:t>Margareth Lanzinger e Aleksander Panjek</w:t>
      </w:r>
    </w:p>
    <w:p w14:paraId="6250EE28" w14:textId="77777777" w:rsidR="00901B25" w:rsidRPr="002D0579" w:rsidRDefault="00901B25" w:rsidP="00901B25">
      <w:pPr>
        <w:spacing w:before="120"/>
        <w:rPr>
          <w:color w:val="323E4F" w:themeColor="text2" w:themeShade="BF"/>
          <w:lang w:val="de-AT"/>
        </w:rPr>
      </w:pPr>
    </w:p>
    <w:p w14:paraId="006DFE17" w14:textId="1C7B48BA" w:rsidR="002D0579" w:rsidRPr="002D0579" w:rsidRDefault="002D0579" w:rsidP="00901B25">
      <w:pPr>
        <w:spacing w:before="120"/>
        <w:rPr>
          <w:color w:val="323E4F" w:themeColor="text2" w:themeShade="BF"/>
          <w:lang w:val="de-AT"/>
        </w:rPr>
      </w:pPr>
      <w:r w:rsidRPr="00362F51">
        <w:rPr>
          <w:color w:val="323E4F" w:themeColor="text2" w:themeShade="BF"/>
          <w:lang w:val="de-AT"/>
        </w:rPr>
        <w:t xml:space="preserve">Bitte senden Sie Ihren Vorschlag für ein Vortragsthema (200–250 Wörter) und ein Kurz-CV bis </w:t>
      </w:r>
      <w:r w:rsidRPr="007234EB">
        <w:rPr>
          <w:b/>
          <w:bCs/>
          <w:color w:val="323E4F" w:themeColor="text2" w:themeShade="BF"/>
          <w:lang w:val="de-AT"/>
        </w:rPr>
        <w:t>31. Januar 2024</w:t>
      </w:r>
      <w:r w:rsidRPr="00362F51">
        <w:rPr>
          <w:color w:val="323E4F" w:themeColor="text2" w:themeShade="BF"/>
          <w:lang w:val="de-AT"/>
        </w:rPr>
        <w:t xml:space="preserve"> an die nachstehende </w:t>
      </w:r>
      <w:proofErr w:type="gramStart"/>
      <w:r w:rsidRPr="00362F51">
        <w:rPr>
          <w:color w:val="323E4F" w:themeColor="text2" w:themeShade="BF"/>
          <w:lang w:val="de-AT"/>
        </w:rPr>
        <w:t>email</w:t>
      </w:r>
      <w:proofErr w:type="gramEnd"/>
      <w:r w:rsidRPr="00362F51">
        <w:rPr>
          <w:color w:val="323E4F" w:themeColor="text2" w:themeShade="BF"/>
          <w:lang w:val="de-AT"/>
        </w:rPr>
        <w:t xml:space="preserve">-Adresse: </w:t>
      </w:r>
      <w:hyperlink r:id="rId5" w:history="1">
        <w:r w:rsidR="00FB7EFB" w:rsidRPr="00707E5D">
          <w:rPr>
            <w:rStyle w:val="Hyperlink"/>
            <w:lang w:val="de-AT"/>
          </w:rPr>
          <w:t>aleksander.panjek@fhs.upr.si</w:t>
        </w:r>
      </w:hyperlink>
      <w:r w:rsidR="00FB7EFB">
        <w:rPr>
          <w:color w:val="323E4F" w:themeColor="text2" w:themeShade="BF"/>
          <w:lang w:val="de-AT"/>
        </w:rPr>
        <w:t xml:space="preserve"> </w:t>
      </w:r>
    </w:p>
    <w:p w14:paraId="416F56BC" w14:textId="77777777" w:rsidR="00901B25" w:rsidRPr="002D0579" w:rsidRDefault="00901B25" w:rsidP="00901B25">
      <w:pPr>
        <w:spacing w:before="120"/>
        <w:rPr>
          <w:color w:val="323E4F" w:themeColor="text2" w:themeShade="BF"/>
          <w:lang w:val="de-AT"/>
        </w:rPr>
      </w:pPr>
    </w:p>
    <w:p w14:paraId="675F3D17" w14:textId="77777777" w:rsidR="00901B25" w:rsidRPr="00783FE0" w:rsidRDefault="00901B25" w:rsidP="00901B25">
      <w:pPr>
        <w:spacing w:before="120"/>
        <w:rPr>
          <w:color w:val="323E4F" w:themeColor="text2" w:themeShade="BF"/>
        </w:rPr>
      </w:pPr>
    </w:p>
    <w:p w14:paraId="429B214F" w14:textId="535BBCA5" w:rsidR="008578A8" w:rsidRPr="00783FE0" w:rsidRDefault="008578A8"/>
    <w:sectPr w:rsidR="008578A8" w:rsidRPr="00783F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CE"/>
    <w:rsid w:val="00013248"/>
    <w:rsid w:val="000163CD"/>
    <w:rsid w:val="0002439A"/>
    <w:rsid w:val="00043351"/>
    <w:rsid w:val="00063974"/>
    <w:rsid w:val="000A2DED"/>
    <w:rsid w:val="000F2855"/>
    <w:rsid w:val="00107744"/>
    <w:rsid w:val="00127BF2"/>
    <w:rsid w:val="00140CC7"/>
    <w:rsid w:val="00150038"/>
    <w:rsid w:val="00156B73"/>
    <w:rsid w:val="00175B5C"/>
    <w:rsid w:val="00210051"/>
    <w:rsid w:val="002173B8"/>
    <w:rsid w:val="0022459E"/>
    <w:rsid w:val="00292F46"/>
    <w:rsid w:val="002B020D"/>
    <w:rsid w:val="002B5C84"/>
    <w:rsid w:val="002B7B2B"/>
    <w:rsid w:val="002D0579"/>
    <w:rsid w:val="002E40CE"/>
    <w:rsid w:val="003022E0"/>
    <w:rsid w:val="00303090"/>
    <w:rsid w:val="0032540F"/>
    <w:rsid w:val="00362F51"/>
    <w:rsid w:val="0039243E"/>
    <w:rsid w:val="003B758D"/>
    <w:rsid w:val="003D1C0F"/>
    <w:rsid w:val="003F5186"/>
    <w:rsid w:val="00406EFC"/>
    <w:rsid w:val="004114B5"/>
    <w:rsid w:val="004341DA"/>
    <w:rsid w:val="004938E1"/>
    <w:rsid w:val="00494BE8"/>
    <w:rsid w:val="004A34CC"/>
    <w:rsid w:val="004A6E90"/>
    <w:rsid w:val="004D607D"/>
    <w:rsid w:val="00552ACA"/>
    <w:rsid w:val="00565050"/>
    <w:rsid w:val="005A6790"/>
    <w:rsid w:val="005C074A"/>
    <w:rsid w:val="00640858"/>
    <w:rsid w:val="0066014D"/>
    <w:rsid w:val="006852B8"/>
    <w:rsid w:val="006F39FC"/>
    <w:rsid w:val="00723104"/>
    <w:rsid w:val="007234EB"/>
    <w:rsid w:val="00747718"/>
    <w:rsid w:val="007603B8"/>
    <w:rsid w:val="00783FE0"/>
    <w:rsid w:val="007E4017"/>
    <w:rsid w:val="00844983"/>
    <w:rsid w:val="00850085"/>
    <w:rsid w:val="008578A8"/>
    <w:rsid w:val="00901B25"/>
    <w:rsid w:val="0097374D"/>
    <w:rsid w:val="0098239C"/>
    <w:rsid w:val="009B6CC6"/>
    <w:rsid w:val="009B72C6"/>
    <w:rsid w:val="00A02390"/>
    <w:rsid w:val="00A1654E"/>
    <w:rsid w:val="00A26FE3"/>
    <w:rsid w:val="00A55D36"/>
    <w:rsid w:val="00A81D75"/>
    <w:rsid w:val="00B44FC1"/>
    <w:rsid w:val="00B84937"/>
    <w:rsid w:val="00C04DBD"/>
    <w:rsid w:val="00C2002F"/>
    <w:rsid w:val="00C5397D"/>
    <w:rsid w:val="00C828B7"/>
    <w:rsid w:val="00D11FCE"/>
    <w:rsid w:val="00D614EE"/>
    <w:rsid w:val="00D709FE"/>
    <w:rsid w:val="00D8394F"/>
    <w:rsid w:val="00DB23DE"/>
    <w:rsid w:val="00DC16A8"/>
    <w:rsid w:val="00DD3826"/>
    <w:rsid w:val="00DE3253"/>
    <w:rsid w:val="00E149CA"/>
    <w:rsid w:val="00E2240E"/>
    <w:rsid w:val="00E33499"/>
    <w:rsid w:val="00E75FF0"/>
    <w:rsid w:val="00E90DEC"/>
    <w:rsid w:val="00EA4B6F"/>
    <w:rsid w:val="00EC3EAD"/>
    <w:rsid w:val="00EE0B72"/>
    <w:rsid w:val="00EE3E0B"/>
    <w:rsid w:val="00F0494F"/>
    <w:rsid w:val="00F277DA"/>
    <w:rsid w:val="00F3067C"/>
    <w:rsid w:val="00F31AFF"/>
    <w:rsid w:val="00F53C6C"/>
    <w:rsid w:val="00F5758D"/>
    <w:rsid w:val="00FB7EFB"/>
    <w:rsid w:val="00FC2B2C"/>
    <w:rsid w:val="00FF1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CDC7"/>
  <w15:docId w15:val="{DDAC482F-786C-4F8F-B3C7-D8E78D0D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A6790"/>
  </w:style>
  <w:style w:type="character" w:styleId="Hyperlink">
    <w:name w:val="Hyperlink"/>
    <w:basedOn w:val="DefaultParagraphFont"/>
    <w:uiPriority w:val="99"/>
    <w:unhideWhenUsed/>
    <w:rsid w:val="00901B25"/>
    <w:rPr>
      <w:color w:val="0563C1" w:themeColor="hyperlink"/>
      <w:u w:val="single"/>
    </w:rPr>
  </w:style>
  <w:style w:type="character" w:customStyle="1" w:styleId="Nerazreenaomemba1">
    <w:name w:val="Nerazrešena omemba1"/>
    <w:basedOn w:val="DefaultParagraphFont"/>
    <w:uiPriority w:val="99"/>
    <w:semiHidden/>
    <w:unhideWhenUsed/>
    <w:rsid w:val="00901B25"/>
    <w:rPr>
      <w:color w:val="605E5C"/>
      <w:shd w:val="clear" w:color="auto" w:fill="E1DFDD"/>
    </w:rPr>
  </w:style>
  <w:style w:type="table" w:styleId="TableGrid">
    <w:name w:val="Table Grid"/>
    <w:basedOn w:val="TableNormal"/>
    <w:uiPriority w:val="39"/>
    <w:rsid w:val="00F5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758D"/>
  </w:style>
  <w:style w:type="character" w:styleId="CommentReference">
    <w:name w:val="annotation reference"/>
    <w:basedOn w:val="DefaultParagraphFont"/>
    <w:uiPriority w:val="99"/>
    <w:semiHidden/>
    <w:unhideWhenUsed/>
    <w:rsid w:val="00F277DA"/>
    <w:rPr>
      <w:sz w:val="16"/>
      <w:szCs w:val="16"/>
    </w:rPr>
  </w:style>
  <w:style w:type="paragraph" w:styleId="CommentText">
    <w:name w:val="annotation text"/>
    <w:basedOn w:val="Normal"/>
    <w:link w:val="CommentTextChar"/>
    <w:uiPriority w:val="99"/>
    <w:unhideWhenUsed/>
    <w:rsid w:val="00F277DA"/>
    <w:rPr>
      <w:sz w:val="20"/>
      <w:szCs w:val="20"/>
    </w:rPr>
  </w:style>
  <w:style w:type="character" w:customStyle="1" w:styleId="CommentTextChar">
    <w:name w:val="Comment Text Char"/>
    <w:basedOn w:val="DefaultParagraphFont"/>
    <w:link w:val="CommentText"/>
    <w:uiPriority w:val="99"/>
    <w:rsid w:val="00F277DA"/>
    <w:rPr>
      <w:sz w:val="20"/>
      <w:szCs w:val="20"/>
    </w:rPr>
  </w:style>
  <w:style w:type="paragraph" w:styleId="CommentSubject">
    <w:name w:val="annotation subject"/>
    <w:basedOn w:val="CommentText"/>
    <w:next w:val="CommentText"/>
    <w:link w:val="CommentSubjectChar"/>
    <w:uiPriority w:val="99"/>
    <w:semiHidden/>
    <w:unhideWhenUsed/>
    <w:rsid w:val="00F277DA"/>
    <w:rPr>
      <w:b/>
      <w:bCs/>
    </w:rPr>
  </w:style>
  <w:style w:type="character" w:customStyle="1" w:styleId="CommentSubjectChar">
    <w:name w:val="Comment Subject Char"/>
    <w:basedOn w:val="CommentTextChar"/>
    <w:link w:val="CommentSubject"/>
    <w:uiPriority w:val="99"/>
    <w:semiHidden/>
    <w:rsid w:val="00F277DA"/>
    <w:rPr>
      <w:b/>
      <w:bCs/>
      <w:sz w:val="20"/>
      <w:szCs w:val="20"/>
    </w:rPr>
  </w:style>
  <w:style w:type="paragraph" w:styleId="BalloonText">
    <w:name w:val="Balloon Text"/>
    <w:basedOn w:val="Normal"/>
    <w:link w:val="BalloonTextChar"/>
    <w:uiPriority w:val="99"/>
    <w:semiHidden/>
    <w:unhideWhenUsed/>
    <w:rsid w:val="0022459E"/>
    <w:rPr>
      <w:rFonts w:ascii="Tahoma" w:hAnsi="Tahoma" w:cs="Tahoma"/>
      <w:sz w:val="16"/>
      <w:szCs w:val="16"/>
    </w:rPr>
  </w:style>
  <w:style w:type="character" w:customStyle="1" w:styleId="BalloonTextChar">
    <w:name w:val="Balloon Text Char"/>
    <w:basedOn w:val="DefaultParagraphFont"/>
    <w:link w:val="BalloonText"/>
    <w:uiPriority w:val="99"/>
    <w:semiHidden/>
    <w:rsid w:val="0022459E"/>
    <w:rPr>
      <w:rFonts w:ascii="Tahoma" w:hAnsi="Tahoma" w:cs="Tahoma"/>
      <w:sz w:val="16"/>
      <w:szCs w:val="16"/>
    </w:rPr>
  </w:style>
  <w:style w:type="character" w:styleId="UnresolvedMention">
    <w:name w:val="Unresolved Mention"/>
    <w:basedOn w:val="DefaultParagraphFont"/>
    <w:uiPriority w:val="99"/>
    <w:semiHidden/>
    <w:unhideWhenUsed/>
    <w:rsid w:val="00FB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92428">
      <w:bodyDiv w:val="1"/>
      <w:marLeft w:val="0"/>
      <w:marRight w:val="0"/>
      <w:marTop w:val="0"/>
      <w:marBottom w:val="0"/>
      <w:divBdr>
        <w:top w:val="none" w:sz="0" w:space="0" w:color="auto"/>
        <w:left w:val="none" w:sz="0" w:space="0" w:color="auto"/>
        <w:bottom w:val="none" w:sz="0" w:space="0" w:color="auto"/>
        <w:right w:val="none" w:sz="0" w:space="0" w:color="auto"/>
      </w:divBdr>
      <w:divsChild>
        <w:div w:id="1017199779">
          <w:marLeft w:val="0"/>
          <w:marRight w:val="0"/>
          <w:marTop w:val="0"/>
          <w:marBottom w:val="0"/>
          <w:divBdr>
            <w:top w:val="none" w:sz="0" w:space="0" w:color="auto"/>
            <w:left w:val="none" w:sz="0" w:space="0" w:color="auto"/>
            <w:bottom w:val="none" w:sz="0" w:space="0" w:color="auto"/>
            <w:right w:val="none" w:sz="0" w:space="0" w:color="auto"/>
          </w:divBdr>
        </w:div>
        <w:div w:id="1361321718">
          <w:marLeft w:val="0"/>
          <w:marRight w:val="0"/>
          <w:marTop w:val="0"/>
          <w:marBottom w:val="0"/>
          <w:divBdr>
            <w:top w:val="none" w:sz="0" w:space="0" w:color="auto"/>
            <w:left w:val="none" w:sz="0" w:space="0" w:color="auto"/>
            <w:bottom w:val="none" w:sz="0" w:space="0" w:color="auto"/>
            <w:right w:val="none" w:sz="0" w:space="0" w:color="auto"/>
          </w:divBdr>
        </w:div>
        <w:div w:id="1450276380">
          <w:marLeft w:val="0"/>
          <w:marRight w:val="0"/>
          <w:marTop w:val="0"/>
          <w:marBottom w:val="0"/>
          <w:divBdr>
            <w:top w:val="none" w:sz="0" w:space="0" w:color="auto"/>
            <w:left w:val="none" w:sz="0" w:space="0" w:color="auto"/>
            <w:bottom w:val="none" w:sz="0" w:space="0" w:color="auto"/>
            <w:right w:val="none" w:sz="0" w:space="0" w:color="auto"/>
          </w:divBdr>
        </w:div>
        <w:div w:id="98280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ksander.panjek@fhs.upr.si"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4111</Characters>
  <Application>Microsoft Office Word</Application>
  <DocSecurity>0</DocSecurity>
  <Lines>34</Lines>
  <Paragraphs>9</Paragraphs>
  <ScaleCrop>false</ScaleCrop>
  <HeadingPairs>
    <vt:vector size="8" baseType="variant">
      <vt:variant>
        <vt:lpstr>Naslov</vt:lpstr>
      </vt:variant>
      <vt:variant>
        <vt:i4>1</vt:i4>
      </vt:variant>
      <vt:variant>
        <vt:lpstr>Titel</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Universitaet Wien</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 Lanzinger</dc:creator>
  <cp:lastModifiedBy>Lorenzetti Luigi</cp:lastModifiedBy>
  <cp:revision>4</cp:revision>
  <dcterms:created xsi:type="dcterms:W3CDTF">2023-11-07T14:16:00Z</dcterms:created>
  <dcterms:modified xsi:type="dcterms:W3CDTF">2023-11-07T14:22:00Z</dcterms:modified>
</cp:coreProperties>
</file>